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Limited Return Policy for Shou Sugi Ban treated Lumber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Effective Date:  January 1,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Thank you for your purchase of Shou Sugi Ban treated lumber. We take pride in our products and strive to provide high-quality materials. Please review our limited return policy below: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Returns and Exchanges: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Eligibility: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Returns are accepted within 30 days of the original purchase date.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Products must be in their original, unused condition, with all packaging and tags attached.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Non-Returnable Items: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Custom or special orders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Items that have been altered, modified, or treated after purchase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Products damaged due to improper handling or installation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Return Process: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 initiate a return, please contact our team through our website with your order number and reason for the return.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Our team will provide detailed instructions for returning eligible items.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Shipping Costs: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Customers are responsible for return shipping costs unless the return is due to an error on our part (e.g., incorrect item sent, defective product).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Original shipping fees are non-refundable.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Refunds: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Once the returned item is received and inspected, we will notify you of the approval or rejection of your refund.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If approved, your refund will be processed, and a credit will automatically be applied to your original method of payment within 14 business days.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Exchanges: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 currently do not offer exchanges. If you wish to exchange an item, please return the original item and place a new order.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Disclaimers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Shou Sugi Ban treated lumber is a natural product; variations in color, texture, and grain pattern are part of the character of the wood and do not constitute defects.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Minor defects or imperfections that do not affect structural integrity are not grounds for a return.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Thank you for choosing our Shou Sugi Ban treated lumber.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